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FEAD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2F0ADBE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6462CF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D38AD0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525A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7071F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D0A7A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BCC83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8592325" w14:textId="79EDB00B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C4049">
        <w:rPr>
          <w:rFonts w:ascii="Verdana" w:hAnsi="Verdana"/>
          <w:b/>
          <w:bCs/>
          <w:sz w:val="18"/>
          <w:szCs w:val="18"/>
        </w:rPr>
        <w:t>„Dodávka ocelových pražců Y a přejezdové polymerbetonové konstrukce“</w:t>
      </w:r>
      <w:r w:rsidR="008C4049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EA61B61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45754961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6F829" w14:textId="77777777" w:rsidR="00B17A7F" w:rsidRDefault="00B17A7F">
      <w:r>
        <w:separator/>
      </w:r>
    </w:p>
  </w:endnote>
  <w:endnote w:type="continuationSeparator" w:id="0">
    <w:p w14:paraId="1B360871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D0AA7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9B04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ACA1E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6166D" w14:textId="6980955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C4049" w:rsidRPr="008C40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CF2DE" w14:textId="77777777" w:rsidR="00B17A7F" w:rsidRDefault="00B17A7F">
      <w:r>
        <w:separator/>
      </w:r>
    </w:p>
  </w:footnote>
  <w:footnote w:type="continuationSeparator" w:id="0">
    <w:p w14:paraId="555518D5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EDBE4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9EE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8081CA9" w14:textId="77777777" w:rsidTr="0045048D">
      <w:trPr>
        <w:trHeight w:val="925"/>
      </w:trPr>
      <w:tc>
        <w:tcPr>
          <w:tcW w:w="5041" w:type="dxa"/>
          <w:vAlign w:val="center"/>
        </w:tcPr>
        <w:p w14:paraId="7E01F2C0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BCA9D4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70135A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474986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A40466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54111741">
    <w:abstractNumId w:val="5"/>
  </w:num>
  <w:num w:numId="2" w16cid:durableId="526605430">
    <w:abstractNumId w:val="1"/>
  </w:num>
  <w:num w:numId="3" w16cid:durableId="354237383">
    <w:abstractNumId w:val="2"/>
  </w:num>
  <w:num w:numId="4" w16cid:durableId="1361666684">
    <w:abstractNumId w:val="4"/>
  </w:num>
  <w:num w:numId="5" w16cid:durableId="983464476">
    <w:abstractNumId w:val="0"/>
  </w:num>
  <w:num w:numId="6" w16cid:durableId="690911756">
    <w:abstractNumId w:val="6"/>
  </w:num>
  <w:num w:numId="7" w16cid:durableId="1198276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16B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4049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A0E787C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2020-01-31T12:38:00Z</dcterms:created>
  <dcterms:modified xsi:type="dcterms:W3CDTF">2022-11-22T08:36:00Z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